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5FC" w:rsidRPr="0096722B" w:rsidRDefault="000765FC" w:rsidP="000765FC">
      <w:pPr>
        <w:spacing w:after="0" w:line="240" w:lineRule="auto"/>
        <w:rPr>
          <w:rFonts w:ascii="Times New Roman" w:hAnsi="Times New Roman"/>
          <w:sz w:val="28"/>
          <w:szCs w:val="28"/>
        </w:rPr>
      </w:pPr>
      <w:r>
        <w:rPr>
          <w:rFonts w:ascii="Times New Roman" w:hAnsi="Times New Roman"/>
          <w:noProof/>
          <w:sz w:val="36"/>
          <w:szCs w:val="28"/>
        </w:rPr>
        <w:drawing>
          <wp:anchor distT="0" distB="0" distL="114300" distR="114300" simplePos="0" relativeHeight="251658240" behindDoc="0" locked="0" layoutInCell="1" allowOverlap="1" wp14:anchorId="7044C061" wp14:editId="18952D58">
            <wp:simplePos x="0" y="0"/>
            <wp:positionH relativeFrom="column">
              <wp:posOffset>-81915</wp:posOffset>
            </wp:positionH>
            <wp:positionV relativeFrom="paragraph">
              <wp:posOffset>0</wp:posOffset>
            </wp:positionV>
            <wp:extent cx="1074420" cy="1057275"/>
            <wp:effectExtent l="0" t="0" r="0" b="9525"/>
            <wp:wrapThrough wrapText="bothSides">
              <wp:wrapPolygon edited="0">
                <wp:start x="0" y="0"/>
                <wp:lineTo x="0" y="21405"/>
                <wp:lineTo x="21064" y="21405"/>
                <wp:lineTo x="2106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442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722B">
        <w:rPr>
          <w:rFonts w:ascii="Times New Roman" w:hAnsi="Times New Roman"/>
          <w:sz w:val="36"/>
          <w:szCs w:val="28"/>
        </w:rPr>
        <w:t>C</w:t>
      </w:r>
      <w:r w:rsidRPr="0096722B">
        <w:rPr>
          <w:rFonts w:ascii="Times New Roman" w:hAnsi="Times New Roman"/>
          <w:sz w:val="28"/>
          <w:szCs w:val="28"/>
        </w:rPr>
        <w:t xml:space="preserve">ITY OF </w:t>
      </w:r>
      <w:r w:rsidRPr="0096722B">
        <w:rPr>
          <w:rFonts w:ascii="Times New Roman" w:hAnsi="Times New Roman"/>
          <w:sz w:val="36"/>
          <w:szCs w:val="28"/>
        </w:rPr>
        <w:t>A</w:t>
      </w:r>
      <w:r w:rsidRPr="0096722B">
        <w:rPr>
          <w:rFonts w:ascii="Times New Roman" w:hAnsi="Times New Roman"/>
          <w:sz w:val="28"/>
          <w:szCs w:val="28"/>
        </w:rPr>
        <w:t>STORIA</w:t>
      </w:r>
    </w:p>
    <w:p w:rsidR="000765FC" w:rsidRPr="00544809" w:rsidRDefault="000765FC" w:rsidP="000765FC">
      <w:pPr>
        <w:spacing w:after="0" w:line="240" w:lineRule="auto"/>
        <w:rPr>
          <w:rFonts w:cs="Arial"/>
          <w:sz w:val="14"/>
          <w:szCs w:val="14"/>
        </w:rPr>
      </w:pPr>
      <w:r>
        <w:rPr>
          <w:rFonts w:cs="Arial"/>
          <w:sz w:val="14"/>
          <w:szCs w:val="14"/>
        </w:rPr>
        <w:t xml:space="preserve">   </w:t>
      </w:r>
      <w:r w:rsidRPr="00544809">
        <w:rPr>
          <w:rFonts w:cs="Arial"/>
          <w:sz w:val="14"/>
          <w:szCs w:val="14"/>
        </w:rPr>
        <w:t>Founded 1811 ● Incorporated 1856</w:t>
      </w:r>
    </w:p>
    <w:p w:rsidR="000765FC" w:rsidRDefault="000765FC" w:rsidP="008F322D">
      <w:pPr>
        <w:spacing w:after="0" w:line="240" w:lineRule="auto"/>
        <w:rPr>
          <w:rFonts w:ascii="Times New Roman" w:hAnsi="Times New Roman"/>
        </w:rPr>
      </w:pPr>
    </w:p>
    <w:p w:rsidR="008F322D" w:rsidRDefault="008F322D" w:rsidP="008F322D">
      <w:pPr>
        <w:spacing w:after="0" w:line="240" w:lineRule="auto"/>
        <w:rPr>
          <w:rFonts w:ascii="Times New Roman" w:hAnsi="Times New Roman"/>
        </w:rPr>
      </w:pPr>
    </w:p>
    <w:p w:rsidR="00EE1413" w:rsidRDefault="00EE1413" w:rsidP="008F322D">
      <w:pPr>
        <w:spacing w:after="0" w:line="240" w:lineRule="auto"/>
        <w:rPr>
          <w:rFonts w:ascii="Times New Roman" w:hAnsi="Times New Roman"/>
        </w:rPr>
      </w:pPr>
    </w:p>
    <w:p w:rsidR="00EE1413" w:rsidRPr="0079570A" w:rsidRDefault="00EE1413" w:rsidP="008F322D">
      <w:pPr>
        <w:spacing w:after="0" w:line="240" w:lineRule="auto"/>
        <w:rPr>
          <w:rFonts w:ascii="Arial" w:hAnsi="Arial" w:cs="Arial"/>
        </w:rPr>
      </w:pPr>
    </w:p>
    <w:p w:rsidR="00397C76" w:rsidRDefault="00397C76" w:rsidP="00EE1413">
      <w:pPr>
        <w:spacing w:after="0" w:line="240" w:lineRule="auto"/>
        <w:jc w:val="center"/>
        <w:rPr>
          <w:rFonts w:ascii="Arial" w:hAnsi="Arial" w:cs="Arial"/>
          <w:b/>
          <w:sz w:val="36"/>
          <w:szCs w:val="36"/>
          <w14:textOutline w14:w="5270" w14:cap="flat" w14:cmpd="sng" w14:algn="ctr">
            <w14:solidFill>
              <w14:schemeClr w14:val="accent1">
                <w14:shade w14:val="88000"/>
                <w14:satMod w14:val="110000"/>
              </w14:schemeClr>
            </w14:solidFill>
            <w14:prstDash w14:val="solid"/>
            <w14:round/>
          </w14:textOutline>
        </w:rPr>
      </w:pPr>
    </w:p>
    <w:p w:rsidR="00EE1413" w:rsidRPr="00D839CD" w:rsidRDefault="00EE1413" w:rsidP="00EE1413">
      <w:pPr>
        <w:spacing w:after="0" w:line="240" w:lineRule="auto"/>
        <w:jc w:val="center"/>
        <w:rPr>
          <w:rFonts w:ascii="Arial" w:hAnsi="Arial" w:cs="Arial"/>
          <w:b/>
          <w:sz w:val="32"/>
          <w:szCs w:val="36"/>
          <w14:textOutline w14:w="5270" w14:cap="flat" w14:cmpd="sng" w14:algn="ctr">
            <w14:solidFill>
              <w14:schemeClr w14:val="accent1">
                <w14:shade w14:val="88000"/>
                <w14:satMod w14:val="110000"/>
              </w14:schemeClr>
            </w14:solidFill>
            <w14:prstDash w14:val="solid"/>
            <w14:round/>
          </w14:textOutline>
        </w:rPr>
      </w:pPr>
      <w:r w:rsidRPr="00D839CD">
        <w:rPr>
          <w:rFonts w:ascii="Arial" w:hAnsi="Arial" w:cs="Arial"/>
          <w:b/>
          <w:sz w:val="32"/>
          <w:szCs w:val="36"/>
          <w14:textOutline w14:w="5270" w14:cap="flat" w14:cmpd="sng" w14:algn="ctr">
            <w14:solidFill>
              <w14:schemeClr w14:val="accent1">
                <w14:shade w14:val="88000"/>
                <w14:satMod w14:val="110000"/>
              </w14:schemeClr>
            </w14:solidFill>
            <w14:prstDash w14:val="solid"/>
            <w14:round/>
          </w14:textOutline>
        </w:rPr>
        <w:t xml:space="preserve">ASTORIA CITY COUNCIL </w:t>
      </w:r>
      <w:r w:rsidR="006829EA" w:rsidRPr="00D839CD">
        <w:rPr>
          <w:rFonts w:ascii="Arial" w:hAnsi="Arial" w:cs="Arial"/>
          <w:b/>
          <w:sz w:val="32"/>
          <w:szCs w:val="36"/>
          <w14:textOutline w14:w="5270" w14:cap="flat" w14:cmpd="sng" w14:algn="ctr">
            <w14:solidFill>
              <w14:schemeClr w14:val="accent1">
                <w14:shade w14:val="88000"/>
                <w14:satMod w14:val="110000"/>
              </w14:schemeClr>
            </w14:solidFill>
            <w14:prstDash w14:val="solid"/>
            <w14:round/>
          </w14:textOutline>
        </w:rPr>
        <w:t xml:space="preserve">VISION AND </w:t>
      </w:r>
      <w:r w:rsidRPr="00D839CD">
        <w:rPr>
          <w:rFonts w:ascii="Arial" w:hAnsi="Arial" w:cs="Arial"/>
          <w:b/>
          <w:sz w:val="32"/>
          <w:szCs w:val="36"/>
          <w14:textOutline w14:w="5270" w14:cap="flat" w14:cmpd="sng" w14:algn="ctr">
            <w14:solidFill>
              <w14:schemeClr w14:val="accent1">
                <w14:shade w14:val="88000"/>
                <w14:satMod w14:val="110000"/>
              </w14:schemeClr>
            </w14:solidFill>
            <w14:prstDash w14:val="solid"/>
            <w14:round/>
          </w14:textOutline>
        </w:rPr>
        <w:t>GOALS</w:t>
      </w:r>
    </w:p>
    <w:p w:rsidR="00EE1413" w:rsidRPr="00D839CD" w:rsidRDefault="001B1394" w:rsidP="00EE1413">
      <w:pPr>
        <w:spacing w:after="0" w:line="240" w:lineRule="auto"/>
        <w:jc w:val="center"/>
        <w:rPr>
          <w:rFonts w:ascii="Arial" w:hAnsi="Arial" w:cs="Arial"/>
          <w:b/>
          <w:sz w:val="32"/>
          <w:szCs w:val="36"/>
          <w14:textOutline w14:w="5270" w14:cap="flat" w14:cmpd="sng" w14:algn="ctr">
            <w14:solidFill>
              <w14:schemeClr w14:val="accent1">
                <w14:shade w14:val="88000"/>
                <w14:satMod w14:val="110000"/>
              </w14:schemeClr>
            </w14:solidFill>
            <w14:prstDash w14:val="solid"/>
            <w14:round/>
          </w14:textOutline>
        </w:rPr>
      </w:pPr>
      <w:r w:rsidRPr="00D839CD">
        <w:rPr>
          <w:rFonts w:ascii="Arial" w:hAnsi="Arial" w:cs="Arial"/>
          <w:b/>
          <w:sz w:val="32"/>
          <w:szCs w:val="36"/>
          <w14:textOutline w14:w="5270" w14:cap="flat" w14:cmpd="sng" w14:algn="ctr">
            <w14:solidFill>
              <w14:schemeClr w14:val="accent1">
                <w14:shade w14:val="88000"/>
                <w14:satMod w14:val="110000"/>
              </w14:schemeClr>
            </w14:solidFill>
            <w14:prstDash w14:val="solid"/>
            <w14:round/>
          </w14:textOutline>
        </w:rPr>
        <w:t xml:space="preserve">FISCAL </w:t>
      </w:r>
      <w:r w:rsidR="006C6D0D" w:rsidRPr="00D839CD">
        <w:rPr>
          <w:rFonts w:ascii="Arial" w:hAnsi="Arial" w:cs="Arial"/>
          <w:b/>
          <w:sz w:val="32"/>
          <w:szCs w:val="36"/>
          <w14:textOutline w14:w="5270" w14:cap="flat" w14:cmpd="sng" w14:algn="ctr">
            <w14:solidFill>
              <w14:schemeClr w14:val="accent1">
                <w14:shade w14:val="88000"/>
                <w14:satMod w14:val="110000"/>
              </w14:schemeClr>
            </w14:solidFill>
            <w14:prstDash w14:val="solid"/>
            <w14:round/>
          </w14:textOutline>
        </w:rPr>
        <w:t>YEAR 2021-202</w:t>
      </w:r>
      <w:r w:rsidR="00DE006D" w:rsidRPr="00D839CD">
        <w:rPr>
          <w:rFonts w:ascii="Arial" w:hAnsi="Arial" w:cs="Arial"/>
          <w:b/>
          <w:sz w:val="32"/>
          <w:szCs w:val="36"/>
          <w14:textOutline w14:w="5270" w14:cap="flat" w14:cmpd="sng" w14:algn="ctr">
            <w14:solidFill>
              <w14:schemeClr w14:val="accent1">
                <w14:shade w14:val="88000"/>
                <w14:satMod w14:val="110000"/>
              </w14:schemeClr>
            </w14:solidFill>
            <w14:prstDash w14:val="solid"/>
            <w14:round/>
          </w14:textOutline>
        </w:rPr>
        <w:t>3</w:t>
      </w:r>
      <w:r w:rsidR="006F7DF7" w:rsidRPr="00D839CD">
        <w:rPr>
          <w:rFonts w:ascii="Arial" w:hAnsi="Arial" w:cs="Arial"/>
          <w:b/>
          <w:sz w:val="32"/>
          <w:szCs w:val="36"/>
          <w14:textOutline w14:w="5270" w14:cap="flat" w14:cmpd="sng" w14:algn="ctr">
            <w14:solidFill>
              <w14:schemeClr w14:val="accent1">
                <w14:shade w14:val="88000"/>
                <w14:satMod w14:val="110000"/>
              </w14:schemeClr>
            </w14:solidFill>
            <w14:prstDash w14:val="solid"/>
            <w14:round/>
          </w14:textOutline>
        </w:rPr>
        <w:t xml:space="preserve"> (Revised May 2022)</w:t>
      </w:r>
    </w:p>
    <w:p w:rsidR="003B0C21" w:rsidRPr="00D839CD" w:rsidRDefault="003B0C21" w:rsidP="0079570A">
      <w:pPr>
        <w:spacing w:after="0" w:line="240" w:lineRule="auto"/>
        <w:jc w:val="center"/>
        <w:rPr>
          <w:rFonts w:ascii="Arial" w:hAnsi="Arial" w:cs="Arial"/>
          <w:b/>
          <w:sz w:val="24"/>
          <w:szCs w:val="28"/>
        </w:rPr>
      </w:pPr>
    </w:p>
    <w:p w:rsidR="001B1394" w:rsidRPr="00D839CD" w:rsidRDefault="00F85F86" w:rsidP="00F85F86">
      <w:pPr>
        <w:pStyle w:val="ListParagraph"/>
        <w:ind w:left="540"/>
        <w:jc w:val="center"/>
        <w:rPr>
          <w:rFonts w:ascii="Arial" w:hAnsi="Arial" w:cs="Arial"/>
          <w:b/>
          <w:sz w:val="24"/>
          <w:szCs w:val="28"/>
          <w:u w:val="single"/>
        </w:rPr>
      </w:pPr>
      <w:r w:rsidRPr="00D839CD">
        <w:rPr>
          <w:rFonts w:ascii="Arial" w:hAnsi="Arial" w:cs="Arial"/>
          <w:b/>
          <w:sz w:val="24"/>
          <w:szCs w:val="28"/>
          <w:u w:val="single"/>
        </w:rPr>
        <w:t>Astoria City Council Vision</w:t>
      </w:r>
    </w:p>
    <w:p w:rsidR="00F85F86" w:rsidRPr="00D839CD" w:rsidRDefault="00F85F86" w:rsidP="00F85F86">
      <w:pPr>
        <w:pStyle w:val="ListParagraph"/>
        <w:ind w:left="540"/>
        <w:rPr>
          <w:rFonts w:ascii="Arial" w:hAnsi="Arial" w:cs="Arial"/>
          <w:b/>
          <w:sz w:val="24"/>
          <w:szCs w:val="28"/>
          <w:u w:val="single"/>
        </w:rPr>
      </w:pPr>
    </w:p>
    <w:p w:rsidR="00F85F86" w:rsidRPr="00D839CD" w:rsidRDefault="00F85F86" w:rsidP="00F85F86">
      <w:pPr>
        <w:pStyle w:val="ListParagraph"/>
        <w:ind w:left="360"/>
        <w:rPr>
          <w:rFonts w:ascii="Arial" w:hAnsi="Arial" w:cs="Arial"/>
          <w:b/>
          <w:sz w:val="24"/>
          <w:szCs w:val="28"/>
        </w:rPr>
      </w:pPr>
      <w:r w:rsidRPr="00D839CD">
        <w:rPr>
          <w:rFonts w:ascii="Arial" w:hAnsi="Arial" w:cs="Arial"/>
          <w:b/>
          <w:sz w:val="24"/>
          <w:szCs w:val="28"/>
        </w:rPr>
        <w:t>The Astoria City Council’s actions and decisions value:</w:t>
      </w:r>
    </w:p>
    <w:p w:rsidR="00F85F86" w:rsidRPr="00D839CD" w:rsidRDefault="00F85F86" w:rsidP="00F85F86">
      <w:pPr>
        <w:pStyle w:val="ListParagraph"/>
        <w:numPr>
          <w:ilvl w:val="0"/>
          <w:numId w:val="11"/>
        </w:numPr>
        <w:rPr>
          <w:rFonts w:ascii="Arial" w:hAnsi="Arial" w:cs="Arial"/>
          <w:b/>
          <w:sz w:val="24"/>
          <w:szCs w:val="28"/>
        </w:rPr>
      </w:pPr>
      <w:r w:rsidRPr="00D839CD">
        <w:rPr>
          <w:rFonts w:ascii="Arial" w:hAnsi="Arial" w:cs="Arial"/>
          <w:b/>
          <w:sz w:val="24"/>
          <w:szCs w:val="28"/>
        </w:rPr>
        <w:t>Preservation of Astoria’s unique character;</w:t>
      </w:r>
    </w:p>
    <w:p w:rsidR="00F85F86" w:rsidRPr="00D839CD" w:rsidRDefault="00F85F86" w:rsidP="00F85F86">
      <w:pPr>
        <w:pStyle w:val="ListParagraph"/>
        <w:numPr>
          <w:ilvl w:val="0"/>
          <w:numId w:val="11"/>
        </w:numPr>
        <w:rPr>
          <w:rFonts w:ascii="Arial" w:hAnsi="Arial" w:cs="Arial"/>
          <w:b/>
          <w:sz w:val="24"/>
          <w:szCs w:val="28"/>
        </w:rPr>
      </w:pPr>
      <w:r w:rsidRPr="00D839CD">
        <w:rPr>
          <w:rFonts w:ascii="Arial" w:hAnsi="Arial" w:cs="Arial"/>
          <w:b/>
          <w:sz w:val="24"/>
          <w:szCs w:val="28"/>
        </w:rPr>
        <w:t>Livability and quality of life for residents;</w:t>
      </w:r>
    </w:p>
    <w:p w:rsidR="00F85F86" w:rsidRPr="00D839CD" w:rsidRDefault="00F85F86" w:rsidP="00F85F86">
      <w:pPr>
        <w:pStyle w:val="ListParagraph"/>
        <w:numPr>
          <w:ilvl w:val="0"/>
          <w:numId w:val="11"/>
        </w:numPr>
        <w:rPr>
          <w:rFonts w:ascii="Arial" w:hAnsi="Arial" w:cs="Arial"/>
          <w:b/>
          <w:sz w:val="24"/>
          <w:szCs w:val="28"/>
        </w:rPr>
      </w:pPr>
      <w:r w:rsidRPr="00D839CD">
        <w:rPr>
          <w:rFonts w:ascii="Arial" w:hAnsi="Arial" w:cs="Arial"/>
          <w:b/>
          <w:sz w:val="24"/>
          <w:szCs w:val="28"/>
        </w:rPr>
        <w:t>A thriving local economy;</w:t>
      </w:r>
    </w:p>
    <w:p w:rsidR="00F85F86" w:rsidRPr="00D839CD" w:rsidRDefault="00F85F86" w:rsidP="00F85F86">
      <w:pPr>
        <w:pStyle w:val="ListParagraph"/>
        <w:numPr>
          <w:ilvl w:val="0"/>
          <w:numId w:val="11"/>
        </w:numPr>
        <w:rPr>
          <w:rFonts w:ascii="Arial" w:hAnsi="Arial" w:cs="Arial"/>
          <w:b/>
          <w:sz w:val="24"/>
          <w:szCs w:val="28"/>
        </w:rPr>
      </w:pPr>
      <w:r w:rsidRPr="00D839CD">
        <w:rPr>
          <w:rFonts w:ascii="Arial" w:hAnsi="Arial" w:cs="Arial"/>
          <w:b/>
          <w:sz w:val="24"/>
          <w:szCs w:val="28"/>
        </w:rPr>
        <w:t>Resilience as a community.</w:t>
      </w:r>
    </w:p>
    <w:p w:rsidR="00F85F86" w:rsidRPr="00D839CD" w:rsidRDefault="00F85F86" w:rsidP="00F85F86">
      <w:pPr>
        <w:ind w:left="360"/>
        <w:rPr>
          <w:rFonts w:ascii="Arial" w:hAnsi="Arial" w:cs="Arial"/>
          <w:b/>
          <w:sz w:val="24"/>
          <w:szCs w:val="28"/>
        </w:rPr>
      </w:pPr>
      <w:r w:rsidRPr="00D839CD">
        <w:rPr>
          <w:rFonts w:ascii="Arial" w:hAnsi="Arial" w:cs="Arial"/>
          <w:b/>
          <w:sz w:val="24"/>
          <w:szCs w:val="28"/>
        </w:rPr>
        <w:t>City government will provide high quality service, be responsive, and be transparent.</w:t>
      </w:r>
      <w:r w:rsidR="00682CC9" w:rsidRPr="00D839CD">
        <w:rPr>
          <w:rFonts w:ascii="Arial" w:hAnsi="Arial" w:cs="Arial"/>
          <w:b/>
          <w:sz w:val="24"/>
          <w:szCs w:val="28"/>
        </w:rPr>
        <w:t xml:space="preserve">  The City of Astoria is committed to being a community welcoming diversity, embracing equity and inclusion</w:t>
      </w:r>
      <w:r w:rsidR="00FD5C37" w:rsidRPr="00D839CD">
        <w:rPr>
          <w:rFonts w:ascii="Arial" w:hAnsi="Arial" w:cs="Arial"/>
          <w:b/>
          <w:sz w:val="24"/>
          <w:szCs w:val="28"/>
        </w:rPr>
        <w:t>, and</w:t>
      </w:r>
      <w:r w:rsidR="00682CC9" w:rsidRPr="00D839CD">
        <w:rPr>
          <w:rFonts w:ascii="Arial" w:hAnsi="Arial" w:cs="Arial"/>
          <w:b/>
          <w:sz w:val="24"/>
          <w:szCs w:val="28"/>
        </w:rPr>
        <w:t xml:space="preserve"> where all are accepted, valued, respected, and safe.</w:t>
      </w:r>
      <w:r w:rsidR="00682CC9" w:rsidRPr="00D839CD">
        <w:rPr>
          <w:sz w:val="20"/>
        </w:rPr>
        <w:t xml:space="preserve"> </w:t>
      </w:r>
    </w:p>
    <w:p w:rsidR="00F85F86" w:rsidRPr="00D839CD" w:rsidRDefault="00F85F86" w:rsidP="00F85F86">
      <w:pPr>
        <w:ind w:left="360"/>
        <w:jc w:val="center"/>
        <w:rPr>
          <w:rFonts w:ascii="Arial" w:hAnsi="Arial" w:cs="Arial"/>
          <w:b/>
          <w:sz w:val="24"/>
          <w:szCs w:val="28"/>
          <w:u w:val="single"/>
        </w:rPr>
      </w:pPr>
      <w:bookmarkStart w:id="0" w:name="_GoBack"/>
      <w:r w:rsidRPr="00D839CD">
        <w:rPr>
          <w:rFonts w:ascii="Arial" w:hAnsi="Arial" w:cs="Arial"/>
          <w:b/>
          <w:sz w:val="24"/>
          <w:szCs w:val="28"/>
          <w:u w:val="single"/>
        </w:rPr>
        <w:t>Astoria City Council Goals</w:t>
      </w:r>
    </w:p>
    <w:p w:rsidR="00D82917" w:rsidRPr="00D839CD" w:rsidRDefault="00D82917" w:rsidP="00D82917">
      <w:pPr>
        <w:pStyle w:val="Heading1"/>
        <w:numPr>
          <w:ilvl w:val="0"/>
          <w:numId w:val="20"/>
        </w:numPr>
        <w:rPr>
          <w:rFonts w:ascii="Arial" w:hAnsi="Arial" w:cs="Arial"/>
          <w:b/>
          <w:color w:val="auto"/>
          <w:sz w:val="24"/>
          <w:szCs w:val="28"/>
        </w:rPr>
      </w:pPr>
      <w:r w:rsidRPr="00D839CD">
        <w:rPr>
          <w:rFonts w:ascii="Arial" w:hAnsi="Arial" w:cs="Arial"/>
          <w:b/>
          <w:color w:val="auto"/>
          <w:sz w:val="24"/>
          <w:szCs w:val="28"/>
        </w:rPr>
        <w:t xml:space="preserve">Support efforts to increase the housing supply using the County Housing Study as a guide.  The City will focus on workforce and affordable housing overall and changes to code to facilitate greater density and missing middle housing. Council will support the efforts of NW Oregon Housing Authority and Clatsop County to locate workforce and affordable housing within the City Limits. </w:t>
      </w:r>
    </w:p>
    <w:p w:rsidR="00D82917" w:rsidRPr="00D839CD" w:rsidRDefault="00D82917" w:rsidP="00D82917">
      <w:pPr>
        <w:pStyle w:val="Heading1"/>
        <w:numPr>
          <w:ilvl w:val="0"/>
          <w:numId w:val="20"/>
        </w:numPr>
        <w:rPr>
          <w:rFonts w:ascii="Arial" w:hAnsi="Arial" w:cs="Arial"/>
          <w:b/>
          <w:color w:val="auto"/>
          <w:sz w:val="24"/>
          <w:szCs w:val="28"/>
        </w:rPr>
      </w:pPr>
      <w:r w:rsidRPr="00D839CD">
        <w:rPr>
          <w:rFonts w:ascii="Arial" w:hAnsi="Arial" w:cs="Arial"/>
          <w:b/>
          <w:color w:val="auto"/>
          <w:sz w:val="24"/>
          <w:szCs w:val="28"/>
        </w:rPr>
        <w:t>Ensure long-term infrastructure sustainability through future infrastructure funding on needed water, sanitary sewer, storm sewer, road and bridge upgrades, as well as continuing high quality watershed management.</w:t>
      </w:r>
    </w:p>
    <w:p w:rsidR="00D82917" w:rsidRPr="00D839CD" w:rsidRDefault="00D82917" w:rsidP="00D82917">
      <w:pPr>
        <w:pStyle w:val="Heading1"/>
        <w:numPr>
          <w:ilvl w:val="0"/>
          <w:numId w:val="20"/>
        </w:numPr>
        <w:rPr>
          <w:rFonts w:ascii="Arial" w:hAnsi="Arial" w:cs="Arial"/>
          <w:b/>
          <w:color w:val="auto"/>
          <w:sz w:val="24"/>
          <w:szCs w:val="28"/>
        </w:rPr>
      </w:pPr>
      <w:r w:rsidRPr="00D839CD">
        <w:rPr>
          <w:rFonts w:ascii="Arial" w:hAnsi="Arial" w:cs="Arial"/>
          <w:b/>
          <w:color w:val="auto"/>
          <w:sz w:val="24"/>
          <w:szCs w:val="28"/>
        </w:rPr>
        <w:t xml:space="preserve">Advance the Library Remodel project by either a bond measure if public support </w:t>
      </w:r>
      <w:proofErr w:type="gramStart"/>
      <w:r w:rsidRPr="00D839CD">
        <w:rPr>
          <w:rFonts w:ascii="Arial" w:hAnsi="Arial" w:cs="Arial"/>
          <w:b/>
          <w:color w:val="auto"/>
          <w:sz w:val="24"/>
          <w:szCs w:val="28"/>
        </w:rPr>
        <w:t>is indicated</w:t>
      </w:r>
      <w:proofErr w:type="gramEnd"/>
      <w:r w:rsidRPr="00D839CD">
        <w:rPr>
          <w:rFonts w:ascii="Arial" w:hAnsi="Arial" w:cs="Arial"/>
          <w:b/>
          <w:color w:val="auto"/>
          <w:sz w:val="24"/>
          <w:szCs w:val="28"/>
        </w:rPr>
        <w:t xml:space="preserve">, or Phase 1 remodel using existing funds. </w:t>
      </w:r>
    </w:p>
    <w:p w:rsidR="00D82917" w:rsidRPr="00D839CD" w:rsidRDefault="00D82917" w:rsidP="00D82917">
      <w:pPr>
        <w:pStyle w:val="Heading1"/>
        <w:numPr>
          <w:ilvl w:val="0"/>
          <w:numId w:val="20"/>
        </w:numPr>
        <w:rPr>
          <w:rFonts w:ascii="Arial" w:hAnsi="Arial" w:cs="Arial"/>
          <w:b/>
          <w:color w:val="auto"/>
          <w:sz w:val="24"/>
          <w:szCs w:val="28"/>
        </w:rPr>
      </w:pPr>
      <w:r w:rsidRPr="00D839CD">
        <w:rPr>
          <w:rFonts w:ascii="Arial" w:hAnsi="Arial" w:cs="Arial"/>
          <w:b/>
          <w:color w:val="auto"/>
          <w:sz w:val="24"/>
          <w:szCs w:val="28"/>
        </w:rPr>
        <w:t>Support work and recommendations of the Homelessness Solutions Taskforce (HOST) as well as other community efforts to address homelessness.  Implement revised ordinances to enhance community quality of life and explore housing opportunities with Clatsop County.</w:t>
      </w:r>
    </w:p>
    <w:p w:rsidR="00D82917" w:rsidRPr="00D839CD" w:rsidRDefault="00D82917" w:rsidP="00D82917">
      <w:pPr>
        <w:pStyle w:val="Heading1"/>
        <w:numPr>
          <w:ilvl w:val="0"/>
          <w:numId w:val="20"/>
        </w:numPr>
        <w:rPr>
          <w:rFonts w:ascii="Arial" w:hAnsi="Arial" w:cs="Arial"/>
          <w:b/>
          <w:color w:val="auto"/>
          <w:sz w:val="24"/>
          <w:szCs w:val="28"/>
        </w:rPr>
      </w:pPr>
      <w:r w:rsidRPr="00D839CD">
        <w:rPr>
          <w:rFonts w:ascii="Arial" w:hAnsi="Arial" w:cs="Arial"/>
          <w:b/>
          <w:color w:val="auto"/>
          <w:sz w:val="24"/>
          <w:szCs w:val="28"/>
        </w:rPr>
        <w:t xml:space="preserve">Work with community partners to implement the five-year economic development strategy.  Coordinate with Clatsop Economic Development Resources (CEDR), Astoria Warrenton Chamber of Commerce, State of Oregon Regional Solutions Team, and other economic development entities on post COVID-19 pandemic recovery. </w:t>
      </w:r>
    </w:p>
    <w:p w:rsidR="00D82917" w:rsidRPr="00D839CD" w:rsidRDefault="00D82917" w:rsidP="00D82917">
      <w:pPr>
        <w:pStyle w:val="Heading1"/>
        <w:numPr>
          <w:ilvl w:val="0"/>
          <w:numId w:val="20"/>
        </w:numPr>
        <w:rPr>
          <w:rFonts w:ascii="Arial" w:hAnsi="Arial" w:cs="Arial"/>
          <w:b/>
          <w:color w:val="auto"/>
          <w:sz w:val="24"/>
          <w:szCs w:val="28"/>
        </w:rPr>
      </w:pPr>
      <w:r w:rsidRPr="00D839CD">
        <w:rPr>
          <w:rFonts w:ascii="Arial" w:hAnsi="Arial" w:cs="Arial"/>
          <w:b/>
          <w:color w:val="auto"/>
          <w:sz w:val="24"/>
          <w:szCs w:val="28"/>
        </w:rPr>
        <w:t xml:space="preserve">Enhance public safety, through quality of life, community outreach, community involvement, and community policing. </w:t>
      </w:r>
    </w:p>
    <w:p w:rsidR="00D82917" w:rsidRPr="00D839CD" w:rsidRDefault="00D82917" w:rsidP="00D82917">
      <w:pPr>
        <w:pStyle w:val="Heading1"/>
        <w:numPr>
          <w:ilvl w:val="0"/>
          <w:numId w:val="20"/>
        </w:numPr>
        <w:rPr>
          <w:rFonts w:ascii="Arial" w:hAnsi="Arial" w:cs="Arial"/>
          <w:b/>
          <w:color w:val="auto"/>
          <w:sz w:val="24"/>
          <w:szCs w:val="28"/>
        </w:rPr>
      </w:pPr>
      <w:r w:rsidRPr="00D839CD">
        <w:rPr>
          <w:rFonts w:ascii="Arial" w:hAnsi="Arial" w:cs="Arial"/>
          <w:b/>
          <w:color w:val="auto"/>
          <w:sz w:val="24"/>
          <w:szCs w:val="28"/>
        </w:rPr>
        <w:t>Increase disaster resilience and awareness among the community, City staff, and facilities.</w:t>
      </w:r>
    </w:p>
    <w:bookmarkEnd w:id="0"/>
    <w:p w:rsidR="009C7D1B" w:rsidRPr="00D839CD" w:rsidRDefault="009C7D1B" w:rsidP="00D839CD">
      <w:pPr>
        <w:rPr>
          <w:sz w:val="20"/>
        </w:rPr>
      </w:pPr>
    </w:p>
    <w:sectPr w:rsidR="009C7D1B" w:rsidRPr="00D839CD" w:rsidSect="00D839CD">
      <w:pgSz w:w="12240" w:h="20160" w:code="5"/>
      <w:pgMar w:top="720" w:right="1152"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830_"/>
      </v:shape>
    </w:pict>
  </w:numPicBullet>
  <w:abstractNum w:abstractNumId="0" w15:restartNumberingAfterBreak="0">
    <w:nsid w:val="0903799B"/>
    <w:multiLevelType w:val="hybridMultilevel"/>
    <w:tmpl w:val="6972A6B8"/>
    <w:lvl w:ilvl="0" w:tplc="8CB0D298">
      <w:start w:val="1"/>
      <w:numFmt w:val="bullet"/>
      <w:lvlText w:val=""/>
      <w:lvlPicBulletId w:val="0"/>
      <w:lvlJc w:val="left"/>
      <w:pPr>
        <w:ind w:left="720" w:hanging="360"/>
      </w:pPr>
      <w:rPr>
        <w:rFonts w:ascii="Symbol" w:hAnsi="Symbo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3E1B78"/>
    <w:multiLevelType w:val="hybridMultilevel"/>
    <w:tmpl w:val="F984E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505C0F"/>
    <w:multiLevelType w:val="hybridMultilevel"/>
    <w:tmpl w:val="F98E6742"/>
    <w:lvl w:ilvl="0" w:tplc="420AC4CA">
      <w:start w:val="1"/>
      <w:numFmt w:val="bullet"/>
      <w:lvlText w:val=""/>
      <w:lvlJc w:val="left"/>
      <w:pPr>
        <w:ind w:left="720" w:hanging="360"/>
      </w:pPr>
      <w:rPr>
        <w:rFonts w:ascii="Wingdings" w:hAnsi="Wingding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F086B"/>
    <w:multiLevelType w:val="hybridMultilevel"/>
    <w:tmpl w:val="61AC7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3275C8"/>
    <w:multiLevelType w:val="hybridMultilevel"/>
    <w:tmpl w:val="B4EEA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0214C1"/>
    <w:multiLevelType w:val="hybridMultilevel"/>
    <w:tmpl w:val="DFB85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DFE67AC"/>
    <w:multiLevelType w:val="hybridMultilevel"/>
    <w:tmpl w:val="FF6C6E68"/>
    <w:lvl w:ilvl="0" w:tplc="D0E8F8EA">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C96449"/>
    <w:multiLevelType w:val="hybridMultilevel"/>
    <w:tmpl w:val="2BB07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AE17FA"/>
    <w:multiLevelType w:val="hybridMultilevel"/>
    <w:tmpl w:val="2C16D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394A86"/>
    <w:multiLevelType w:val="hybridMultilevel"/>
    <w:tmpl w:val="58DC6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2C4186"/>
    <w:multiLevelType w:val="hybridMultilevel"/>
    <w:tmpl w:val="FB94E84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6AFD4789"/>
    <w:multiLevelType w:val="hybridMultilevel"/>
    <w:tmpl w:val="453C82F8"/>
    <w:lvl w:ilvl="0" w:tplc="D0E8F8EA">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FF34F3"/>
    <w:multiLevelType w:val="hybridMultilevel"/>
    <w:tmpl w:val="1E52A3C8"/>
    <w:lvl w:ilvl="0" w:tplc="0409000B">
      <w:start w:val="1"/>
      <w:numFmt w:val="bullet"/>
      <w:lvlText w:val=""/>
      <w:lvlJc w:val="left"/>
      <w:pPr>
        <w:ind w:left="720" w:hanging="360"/>
      </w:pPr>
      <w:rPr>
        <w:rFonts w:ascii="Wingdings" w:hAnsi="Wingding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983E2F"/>
    <w:multiLevelType w:val="hybridMultilevel"/>
    <w:tmpl w:val="05BA2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3C2575"/>
    <w:multiLevelType w:val="hybridMultilevel"/>
    <w:tmpl w:val="7FC66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494122"/>
    <w:multiLevelType w:val="hybridMultilevel"/>
    <w:tmpl w:val="EF44B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93444D"/>
    <w:multiLevelType w:val="hybridMultilevel"/>
    <w:tmpl w:val="DF00A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C53171"/>
    <w:multiLevelType w:val="hybridMultilevel"/>
    <w:tmpl w:val="E6A27732"/>
    <w:lvl w:ilvl="0" w:tplc="04090009">
      <w:start w:val="1"/>
      <w:numFmt w:val="bullet"/>
      <w:lvlText w:val=""/>
      <w:lvlJc w:val="left"/>
      <w:pPr>
        <w:ind w:left="720" w:hanging="360"/>
      </w:pPr>
      <w:rPr>
        <w:rFonts w:ascii="Wingdings" w:hAnsi="Wingding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77020A"/>
    <w:multiLevelType w:val="hybridMultilevel"/>
    <w:tmpl w:val="1542D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DD1A1F"/>
    <w:multiLevelType w:val="hybridMultilevel"/>
    <w:tmpl w:val="B3041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5"/>
  </w:num>
  <w:num w:numId="4">
    <w:abstractNumId w:val="6"/>
  </w:num>
  <w:num w:numId="5">
    <w:abstractNumId w:val="0"/>
  </w:num>
  <w:num w:numId="6">
    <w:abstractNumId w:val="17"/>
  </w:num>
  <w:num w:numId="7">
    <w:abstractNumId w:val="12"/>
  </w:num>
  <w:num w:numId="8">
    <w:abstractNumId w:val="11"/>
  </w:num>
  <w:num w:numId="9">
    <w:abstractNumId w:val="4"/>
  </w:num>
  <w:num w:numId="10">
    <w:abstractNumId w:val="13"/>
  </w:num>
  <w:num w:numId="11">
    <w:abstractNumId w:val="10"/>
  </w:num>
  <w:num w:numId="12">
    <w:abstractNumId w:val="3"/>
  </w:num>
  <w:num w:numId="13">
    <w:abstractNumId w:val="19"/>
  </w:num>
  <w:num w:numId="14">
    <w:abstractNumId w:val="16"/>
  </w:num>
  <w:num w:numId="15">
    <w:abstractNumId w:val="7"/>
  </w:num>
  <w:num w:numId="16">
    <w:abstractNumId w:val="8"/>
  </w:num>
  <w:num w:numId="17">
    <w:abstractNumId w:val="1"/>
  </w:num>
  <w:num w:numId="18">
    <w:abstractNumId w:val="14"/>
  </w:num>
  <w:num w:numId="19">
    <w:abstractNumId w:val="1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041"/>
    <w:rsid w:val="00011205"/>
    <w:rsid w:val="000765FC"/>
    <w:rsid w:val="000C23CE"/>
    <w:rsid w:val="0010199F"/>
    <w:rsid w:val="00121041"/>
    <w:rsid w:val="00165D26"/>
    <w:rsid w:val="00181A15"/>
    <w:rsid w:val="001A35BF"/>
    <w:rsid w:val="001B1394"/>
    <w:rsid w:val="002976D0"/>
    <w:rsid w:val="0030494D"/>
    <w:rsid w:val="003272D8"/>
    <w:rsid w:val="00357D0F"/>
    <w:rsid w:val="00397C76"/>
    <w:rsid w:val="003B0C21"/>
    <w:rsid w:val="003D1C57"/>
    <w:rsid w:val="0044478D"/>
    <w:rsid w:val="004828DB"/>
    <w:rsid w:val="005148FC"/>
    <w:rsid w:val="00524C7B"/>
    <w:rsid w:val="00555889"/>
    <w:rsid w:val="005A358C"/>
    <w:rsid w:val="005A60A6"/>
    <w:rsid w:val="005B29AF"/>
    <w:rsid w:val="00643877"/>
    <w:rsid w:val="006829EA"/>
    <w:rsid w:val="00682CC9"/>
    <w:rsid w:val="00693283"/>
    <w:rsid w:val="006C6D0D"/>
    <w:rsid w:val="006E2184"/>
    <w:rsid w:val="006F5039"/>
    <w:rsid w:val="006F7DF7"/>
    <w:rsid w:val="00702D66"/>
    <w:rsid w:val="00724947"/>
    <w:rsid w:val="00770D06"/>
    <w:rsid w:val="0079570A"/>
    <w:rsid w:val="00796253"/>
    <w:rsid w:val="00796A76"/>
    <w:rsid w:val="00835AFE"/>
    <w:rsid w:val="00874BF7"/>
    <w:rsid w:val="008F322D"/>
    <w:rsid w:val="0096256E"/>
    <w:rsid w:val="00970253"/>
    <w:rsid w:val="00984B87"/>
    <w:rsid w:val="009A1DC8"/>
    <w:rsid w:val="009A443F"/>
    <w:rsid w:val="009A7C14"/>
    <w:rsid w:val="009B4718"/>
    <w:rsid w:val="009C3CDC"/>
    <w:rsid w:val="009C7D1B"/>
    <w:rsid w:val="009D11E0"/>
    <w:rsid w:val="009D5D3A"/>
    <w:rsid w:val="009E5C82"/>
    <w:rsid w:val="00AC5869"/>
    <w:rsid w:val="00C02B51"/>
    <w:rsid w:val="00CC2EAA"/>
    <w:rsid w:val="00CD2840"/>
    <w:rsid w:val="00CE0A82"/>
    <w:rsid w:val="00D82917"/>
    <w:rsid w:val="00D839CD"/>
    <w:rsid w:val="00D976AA"/>
    <w:rsid w:val="00DA2102"/>
    <w:rsid w:val="00DE006D"/>
    <w:rsid w:val="00DF6CAB"/>
    <w:rsid w:val="00E33EAD"/>
    <w:rsid w:val="00E34B93"/>
    <w:rsid w:val="00E35278"/>
    <w:rsid w:val="00E447A1"/>
    <w:rsid w:val="00ED60C9"/>
    <w:rsid w:val="00EE1413"/>
    <w:rsid w:val="00F85F86"/>
    <w:rsid w:val="00FB52F6"/>
    <w:rsid w:val="00FD5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62F9D8A-C7FD-48A4-8714-555EA0A36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8291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041"/>
    <w:pPr>
      <w:ind w:left="720"/>
      <w:contextualSpacing/>
    </w:pPr>
  </w:style>
  <w:style w:type="paragraph" w:styleId="BalloonText">
    <w:name w:val="Balloon Text"/>
    <w:basedOn w:val="Normal"/>
    <w:link w:val="BalloonTextChar"/>
    <w:uiPriority w:val="99"/>
    <w:semiHidden/>
    <w:unhideWhenUsed/>
    <w:rsid w:val="005B2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9AF"/>
    <w:rPr>
      <w:rFonts w:ascii="Tahoma" w:hAnsi="Tahoma" w:cs="Tahoma"/>
      <w:sz w:val="16"/>
      <w:szCs w:val="16"/>
    </w:rPr>
  </w:style>
  <w:style w:type="character" w:customStyle="1" w:styleId="Heading1Char">
    <w:name w:val="Heading 1 Char"/>
    <w:basedOn w:val="DefaultParagraphFont"/>
    <w:link w:val="Heading1"/>
    <w:uiPriority w:val="9"/>
    <w:rsid w:val="00D8291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57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27536-C324-47DF-9A3B-158D08410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Brett Estes</dc:creator>
  <cp:lastModifiedBy>Jennifer Benoit</cp:lastModifiedBy>
  <cp:revision>2</cp:revision>
  <cp:lastPrinted>2015-04-29T23:14:00Z</cp:lastPrinted>
  <dcterms:created xsi:type="dcterms:W3CDTF">2022-04-27T16:38:00Z</dcterms:created>
  <dcterms:modified xsi:type="dcterms:W3CDTF">2022-04-27T16:38:00Z</dcterms:modified>
</cp:coreProperties>
</file>